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DD9B8" w14:textId="11AB6E78" w:rsidR="00383328" w:rsidRDefault="00383328" w:rsidP="00383328">
      <w:pPr>
        <w:rPr>
          <w:rFonts w:ascii="Arial" w:eastAsia="Times New Roman" w:hAnsi="Arial" w:cs="Arial"/>
          <w:color w:val="111111"/>
          <w:sz w:val="20"/>
          <w:szCs w:val="20"/>
          <w:shd w:val="clear" w:color="auto" w:fill="E6E6E6"/>
        </w:rPr>
      </w:pPr>
    </w:p>
    <w:p w14:paraId="78B9AE5C" w14:textId="11BB88E6" w:rsidR="00383328" w:rsidRDefault="00383328" w:rsidP="00383328">
      <w:pPr>
        <w:rPr>
          <w:color w:val="000000"/>
          <w:sz w:val="28"/>
          <w:szCs w:val="28"/>
          <w:bdr w:val="none" w:sz="0" w:space="0" w:color="auto" w:frame="1"/>
        </w:rPr>
      </w:pPr>
      <w:r>
        <w:rPr>
          <w:color w:val="000000"/>
          <w:sz w:val="28"/>
          <w:szCs w:val="28"/>
          <w:bdr w:val="none" w:sz="0" w:space="0" w:color="auto" w:frame="1"/>
        </w:rPr>
        <w:t xml:space="preserve">respond to two of your peers using peer review </w:t>
      </w:r>
      <w:proofErr w:type="spellStart"/>
      <w:r>
        <w:rPr>
          <w:color w:val="000000"/>
          <w:sz w:val="28"/>
          <w:szCs w:val="28"/>
          <w:bdr w:val="none" w:sz="0" w:space="0" w:color="auto" w:frame="1"/>
        </w:rPr>
        <w:t>refrences</w:t>
      </w:r>
      <w:proofErr w:type="spellEnd"/>
      <w:r>
        <w:rPr>
          <w:color w:val="000000"/>
          <w:sz w:val="28"/>
          <w:szCs w:val="28"/>
          <w:bdr w:val="none" w:sz="0" w:space="0" w:color="auto" w:frame="1"/>
        </w:rPr>
        <w:t xml:space="preserve"> within in 5 years using APA.</w:t>
      </w:r>
    </w:p>
    <w:p w14:paraId="627F8E29" w14:textId="61AE1066" w:rsidR="00383328" w:rsidRDefault="00383328" w:rsidP="00383328">
      <w:pPr>
        <w:rPr>
          <w:rFonts w:ascii="Arial" w:eastAsia="Times New Roman" w:hAnsi="Arial" w:cs="Arial"/>
          <w:color w:val="111111"/>
          <w:sz w:val="20"/>
          <w:szCs w:val="20"/>
          <w:shd w:val="clear" w:color="auto" w:fill="E6E6E6"/>
        </w:rPr>
      </w:pPr>
      <w:r>
        <w:rPr>
          <w:color w:val="000000"/>
          <w:sz w:val="28"/>
          <w:szCs w:val="28"/>
          <w:bdr w:val="none" w:sz="0" w:space="0" w:color="auto" w:frame="1"/>
        </w:rPr>
        <w:t xml:space="preserve">150 words for each response </w:t>
      </w:r>
    </w:p>
    <w:p w14:paraId="1AFEBC9A" w14:textId="39961DD6" w:rsidR="00383328" w:rsidRDefault="00383328" w:rsidP="00383328">
      <w:pPr>
        <w:rPr>
          <w:rFonts w:ascii="Arial" w:eastAsia="Times New Roman" w:hAnsi="Arial" w:cs="Arial"/>
          <w:color w:val="111111"/>
          <w:sz w:val="20"/>
          <w:szCs w:val="20"/>
          <w:shd w:val="clear" w:color="auto" w:fill="E6E6E6"/>
        </w:rPr>
      </w:pPr>
    </w:p>
    <w:p w14:paraId="4F0375EE" w14:textId="77777777" w:rsidR="00383328" w:rsidRDefault="00383328" w:rsidP="00383328">
      <w:pPr>
        <w:rPr>
          <w:rFonts w:ascii="Arial" w:eastAsia="Times New Roman" w:hAnsi="Arial" w:cs="Arial"/>
          <w:color w:val="111111"/>
          <w:sz w:val="20"/>
          <w:szCs w:val="20"/>
          <w:shd w:val="clear" w:color="auto" w:fill="E6E6E6"/>
        </w:rPr>
      </w:pPr>
    </w:p>
    <w:p w14:paraId="0C925761" w14:textId="7441312F" w:rsidR="00383328" w:rsidRDefault="00383328" w:rsidP="00383328">
      <w:pPr>
        <w:rPr>
          <w:rFonts w:ascii="Arial" w:eastAsia="Times New Roman" w:hAnsi="Arial" w:cs="Arial"/>
          <w:color w:val="111111"/>
          <w:sz w:val="20"/>
          <w:szCs w:val="20"/>
          <w:shd w:val="clear" w:color="auto" w:fill="E6E6E6"/>
        </w:rPr>
      </w:pPr>
      <w:r>
        <w:rPr>
          <w:rFonts w:ascii="Arial" w:eastAsia="Times New Roman" w:hAnsi="Arial" w:cs="Arial"/>
          <w:color w:val="111111"/>
          <w:sz w:val="20"/>
          <w:szCs w:val="20"/>
          <w:shd w:val="clear" w:color="auto" w:fill="E6E6E6"/>
        </w:rPr>
        <w:t xml:space="preserve">Response 1 </w:t>
      </w:r>
    </w:p>
    <w:p w14:paraId="5449944B" w14:textId="77777777" w:rsidR="00383328" w:rsidRDefault="00383328" w:rsidP="00383328">
      <w:pPr>
        <w:rPr>
          <w:rFonts w:ascii="Arial" w:eastAsia="Times New Roman" w:hAnsi="Arial" w:cs="Arial"/>
          <w:color w:val="111111"/>
          <w:sz w:val="20"/>
          <w:szCs w:val="20"/>
          <w:shd w:val="clear" w:color="auto" w:fill="E6E6E6"/>
        </w:rPr>
      </w:pPr>
    </w:p>
    <w:p w14:paraId="70F6E815" w14:textId="77777777" w:rsidR="00294802" w:rsidRPr="00294802" w:rsidRDefault="00294802" w:rsidP="00294802">
      <w:pPr>
        <w:spacing w:line="440" w:lineRule="atLeast"/>
        <w:ind w:firstLine="720"/>
        <w:rPr>
          <w:rFonts w:ascii="Calibri" w:eastAsia="Times New Roman" w:hAnsi="Calibri" w:cs="Calibri"/>
          <w:color w:val="111111"/>
          <w:sz w:val="22"/>
          <w:szCs w:val="22"/>
        </w:rPr>
      </w:pPr>
      <w:r w:rsidRPr="00294802">
        <w:rPr>
          <w:rFonts w:ascii="Times New Roman" w:eastAsia="Times New Roman" w:hAnsi="Times New Roman" w:cs="Times New Roman"/>
          <w:color w:val="111111"/>
          <w:bdr w:val="none" w:sz="0" w:space="0" w:color="auto" w:frame="1"/>
        </w:rPr>
        <w:t>Telehealth has surpassed many barriers during the COVID-19 pandemic compared to its previous usage. Prior to the pandemic it was estimated that telehealth utilization was about 13</w:t>
      </w:r>
      <w:proofErr w:type="gramStart"/>
      <w:r w:rsidRPr="00294802">
        <w:rPr>
          <w:rFonts w:ascii="Times New Roman" w:eastAsia="Times New Roman" w:hAnsi="Times New Roman" w:cs="Times New Roman"/>
          <w:color w:val="111111"/>
          <w:bdr w:val="none" w:sz="0" w:space="0" w:color="auto" w:frame="1"/>
        </w:rPr>
        <w:t>%  by</w:t>
      </w:r>
      <w:proofErr w:type="gramEnd"/>
      <w:r w:rsidRPr="00294802">
        <w:rPr>
          <w:rFonts w:ascii="Times New Roman" w:eastAsia="Times New Roman" w:hAnsi="Times New Roman" w:cs="Times New Roman"/>
          <w:color w:val="111111"/>
          <w:bdr w:val="none" w:sz="0" w:space="0" w:color="auto" w:frame="1"/>
        </w:rPr>
        <w:t xml:space="preserve"> hospitals and patients but during 2020 it increased by 686%. Its use quickly gained approval by government funded insurances and private insurances by passing many pending laws and restrictions that crippled its use in the past. Since the induction individuals have experienced healthcare in a whole new form.  It has improved accessibility, convenience, and healthcare outcomes. An</w:t>
      </w:r>
      <w:r w:rsidRPr="00294802">
        <w:rPr>
          <w:rFonts w:ascii="inherit" w:eastAsia="Times New Roman" w:hAnsi="inherit" w:cs="Times New Roman"/>
          <w:color w:val="000000"/>
          <w:bdr w:val="none" w:sz="0" w:space="0" w:color="auto" w:frame="1"/>
        </w:rPr>
        <w:t> Australian study in 2013-2014 that involved nearly 300 telehealth patients explored the benefits of both vital signs monitors and technologies that included participant videoconferencing capabilities and messaging features (Fish et al., 2020). A reduction in hospital admissions but, importantly, also found a significant improvement in participants’ health literacy and health behaviors, together with reported improvements in anxiety, depression, and quality of life. Other small-scale studies have taken this further, emphasizing the convenience of such services, especially when accessed by people in rural areas and, therefore, obviating the need to travel (Fish et al., 2020). Although personal contact in the form of </w:t>
      </w:r>
      <w:r w:rsidRPr="00294802">
        <w:rPr>
          <w:rFonts w:ascii="inherit" w:eastAsia="Times New Roman" w:hAnsi="inherit" w:cs="Times New Roman"/>
          <w:i/>
          <w:iCs/>
          <w:color w:val="000000"/>
          <w:bdr w:val="none" w:sz="0" w:space="0" w:color="auto" w:frame="1"/>
        </w:rPr>
        <w:t>presence</w:t>
      </w:r>
      <w:r w:rsidRPr="00294802">
        <w:rPr>
          <w:rFonts w:ascii="inherit" w:eastAsia="Times New Roman" w:hAnsi="inherit" w:cs="Times New Roman"/>
          <w:color w:val="000000"/>
          <w:bdr w:val="none" w:sz="0" w:space="0" w:color="auto" w:frame="1"/>
        </w:rPr>
        <w:t> and </w:t>
      </w:r>
      <w:r w:rsidRPr="00294802">
        <w:rPr>
          <w:rFonts w:ascii="inherit" w:eastAsia="Times New Roman" w:hAnsi="inherit" w:cs="Times New Roman"/>
          <w:i/>
          <w:iCs/>
          <w:color w:val="000000"/>
          <w:bdr w:val="none" w:sz="0" w:space="0" w:color="auto" w:frame="1"/>
        </w:rPr>
        <w:t>touch</w:t>
      </w:r>
      <w:r w:rsidRPr="00294802">
        <w:rPr>
          <w:rFonts w:ascii="inherit" w:eastAsia="Times New Roman" w:hAnsi="inherit" w:cs="Times New Roman"/>
          <w:color w:val="000000"/>
          <w:bdr w:val="none" w:sz="0" w:space="0" w:color="auto" w:frame="1"/>
        </w:rPr>
        <w:t> is beyond telehealth, at least there is some help toward addressing the twin scourges of loneliness and social isolation that can afflict some older people. Linked with this is a real ability to make connections that give comfort and companionship to older people when they are dying. Continuing approval from insurance companies of telehealth beyond COVID is an investment in the healthcare of the consumers and can help keep long term costs down and contribute to healthier individuals. </w:t>
      </w:r>
    </w:p>
    <w:p w14:paraId="4B326C08" w14:textId="77777777" w:rsidR="00294802" w:rsidRPr="00294802" w:rsidRDefault="00294802" w:rsidP="00294802">
      <w:pPr>
        <w:shd w:val="clear" w:color="auto" w:fill="FFFFFF"/>
        <w:spacing w:line="480" w:lineRule="atLeast"/>
        <w:rPr>
          <w:rFonts w:ascii="Times New Roman" w:eastAsia="Times New Roman" w:hAnsi="Times New Roman" w:cs="Times New Roman"/>
          <w:color w:val="111111"/>
        </w:rPr>
      </w:pPr>
      <w:r w:rsidRPr="00294802">
        <w:rPr>
          <w:rFonts w:ascii="inherit" w:eastAsia="Times New Roman" w:hAnsi="inherit" w:cs="Times New Roman"/>
          <w:color w:val="000000"/>
          <w:bdr w:val="none" w:sz="0" w:space="0" w:color="auto" w:frame="1"/>
        </w:rPr>
        <w:t> </w:t>
      </w:r>
    </w:p>
    <w:p w14:paraId="6867593A" w14:textId="77777777" w:rsidR="00294802" w:rsidRPr="00294802" w:rsidRDefault="00294802" w:rsidP="00294802">
      <w:pPr>
        <w:spacing w:line="440" w:lineRule="atLeast"/>
        <w:rPr>
          <w:rFonts w:ascii="Calibri" w:eastAsia="Times New Roman" w:hAnsi="Calibri" w:cs="Calibri"/>
          <w:color w:val="111111"/>
          <w:sz w:val="22"/>
          <w:szCs w:val="22"/>
        </w:rPr>
      </w:pPr>
      <w:r w:rsidRPr="00294802">
        <w:rPr>
          <w:rFonts w:ascii="Times New Roman" w:eastAsia="Times New Roman" w:hAnsi="Times New Roman" w:cs="Times New Roman"/>
          <w:color w:val="111111"/>
          <w:bdr w:val="none" w:sz="0" w:space="0" w:color="auto" w:frame="1"/>
        </w:rPr>
        <w:t> </w:t>
      </w:r>
    </w:p>
    <w:p w14:paraId="5FD6FC9B" w14:textId="77777777" w:rsidR="00294802" w:rsidRPr="00294802" w:rsidRDefault="00294802" w:rsidP="00294802">
      <w:pPr>
        <w:spacing w:line="440" w:lineRule="atLeast"/>
        <w:rPr>
          <w:rFonts w:ascii="Calibri" w:eastAsia="Times New Roman" w:hAnsi="Calibri" w:cs="Calibri"/>
          <w:color w:val="111111"/>
          <w:sz w:val="22"/>
          <w:szCs w:val="22"/>
        </w:rPr>
      </w:pPr>
      <w:r w:rsidRPr="00294802">
        <w:rPr>
          <w:rFonts w:ascii="Times New Roman" w:eastAsia="Times New Roman" w:hAnsi="Times New Roman" w:cs="Times New Roman"/>
          <w:color w:val="111111"/>
          <w:bdr w:val="none" w:sz="0" w:space="0" w:color="auto" w:frame="1"/>
        </w:rPr>
        <w:t> </w:t>
      </w:r>
    </w:p>
    <w:p w14:paraId="55A5ADC9" w14:textId="77777777" w:rsidR="00294802" w:rsidRPr="00294802" w:rsidRDefault="00294802" w:rsidP="00294802">
      <w:pPr>
        <w:spacing w:line="440" w:lineRule="atLeast"/>
        <w:rPr>
          <w:rFonts w:ascii="Calibri" w:eastAsia="Times New Roman" w:hAnsi="Calibri" w:cs="Calibri"/>
          <w:color w:val="111111"/>
          <w:sz w:val="22"/>
          <w:szCs w:val="22"/>
        </w:rPr>
      </w:pPr>
      <w:r w:rsidRPr="00294802">
        <w:rPr>
          <w:rFonts w:ascii="Times New Roman" w:eastAsia="Times New Roman" w:hAnsi="Times New Roman" w:cs="Times New Roman"/>
          <w:color w:val="111111"/>
          <w:bdr w:val="none" w:sz="0" w:space="0" w:color="auto" w:frame="1"/>
        </w:rPr>
        <w:t> </w:t>
      </w:r>
    </w:p>
    <w:p w14:paraId="5008CBF0" w14:textId="77777777" w:rsidR="00294802" w:rsidRPr="00294802" w:rsidRDefault="00294802" w:rsidP="00294802">
      <w:pPr>
        <w:spacing w:line="440" w:lineRule="atLeast"/>
        <w:jc w:val="center"/>
        <w:rPr>
          <w:rFonts w:ascii="Calibri" w:eastAsia="Times New Roman" w:hAnsi="Calibri" w:cs="Calibri"/>
          <w:color w:val="111111"/>
          <w:sz w:val="22"/>
          <w:szCs w:val="22"/>
        </w:rPr>
      </w:pPr>
      <w:r w:rsidRPr="00294802">
        <w:rPr>
          <w:rFonts w:ascii="Times New Roman" w:eastAsia="Times New Roman" w:hAnsi="Times New Roman" w:cs="Times New Roman"/>
          <w:color w:val="111111"/>
          <w:bdr w:val="none" w:sz="0" w:space="0" w:color="auto" w:frame="1"/>
        </w:rPr>
        <w:lastRenderedPageBreak/>
        <w:t>References</w:t>
      </w:r>
    </w:p>
    <w:p w14:paraId="7C84A0CF" w14:textId="77777777" w:rsidR="00294802" w:rsidRPr="00294802" w:rsidRDefault="00294802" w:rsidP="00294802">
      <w:pPr>
        <w:spacing w:line="440" w:lineRule="atLeast"/>
        <w:rPr>
          <w:rFonts w:ascii="Calibri" w:eastAsia="Times New Roman" w:hAnsi="Calibri" w:cs="Calibri"/>
          <w:color w:val="111111"/>
          <w:sz w:val="22"/>
          <w:szCs w:val="22"/>
        </w:rPr>
      </w:pPr>
      <w:r w:rsidRPr="00294802">
        <w:rPr>
          <w:rFonts w:ascii="Times New Roman" w:eastAsia="Times New Roman" w:hAnsi="Times New Roman" w:cs="Times New Roman"/>
          <w:color w:val="303030"/>
          <w:bdr w:val="none" w:sz="0" w:space="0" w:color="auto" w:frame="1"/>
          <w:shd w:val="clear" w:color="auto" w:fill="FFFFFF"/>
        </w:rPr>
        <w:t>Fisk, M., Livingstone, A., &amp; Pit, S. W. (2020). Telehealth in the Context of COVID-19: Changing     Perspectives in Australia, the United Kingdom, and the United States. </w:t>
      </w:r>
      <w:r w:rsidRPr="00294802">
        <w:rPr>
          <w:rFonts w:ascii="Arial" w:eastAsia="Times New Roman" w:hAnsi="Arial" w:cs="Arial"/>
          <w:i/>
          <w:iCs/>
          <w:color w:val="111111"/>
          <w:sz w:val="22"/>
          <w:szCs w:val="22"/>
        </w:rPr>
        <w:t>Journal of medical Internet research</w:t>
      </w:r>
      <w:r w:rsidRPr="00294802">
        <w:rPr>
          <w:rFonts w:ascii="inherit" w:eastAsia="Times New Roman" w:hAnsi="inherit" w:cs="Calibri"/>
          <w:color w:val="111111"/>
          <w:sz w:val="22"/>
          <w:szCs w:val="22"/>
          <w:bdr w:val="none" w:sz="0" w:space="0" w:color="auto" w:frame="1"/>
        </w:rPr>
        <w:t>, </w:t>
      </w:r>
      <w:r w:rsidRPr="00294802">
        <w:rPr>
          <w:rFonts w:ascii="Arial" w:eastAsia="Times New Roman" w:hAnsi="Arial" w:cs="Arial"/>
          <w:i/>
          <w:iCs/>
          <w:color w:val="111111"/>
          <w:sz w:val="22"/>
          <w:szCs w:val="22"/>
        </w:rPr>
        <w:t>22</w:t>
      </w:r>
      <w:r w:rsidRPr="00294802">
        <w:rPr>
          <w:rFonts w:ascii="inherit" w:eastAsia="Times New Roman" w:hAnsi="inherit" w:cs="Calibri"/>
          <w:color w:val="111111"/>
          <w:sz w:val="22"/>
          <w:szCs w:val="22"/>
          <w:bdr w:val="none" w:sz="0" w:space="0" w:color="auto" w:frame="1"/>
        </w:rPr>
        <w:t>(6), e19264. https://doi.org/10.2196/19264</w:t>
      </w:r>
    </w:p>
    <w:p w14:paraId="59F66E44" w14:textId="77777777" w:rsidR="00383328" w:rsidRDefault="00383328"/>
    <w:p w14:paraId="62554DDA" w14:textId="77777777" w:rsidR="00383328" w:rsidRDefault="00383328" w:rsidP="00383328">
      <w:pPr>
        <w:pStyle w:val="NormalWeb"/>
        <w:shd w:val="clear" w:color="auto" w:fill="FFFFFF"/>
        <w:spacing w:before="0" w:beforeAutospacing="0" w:after="0" w:afterAutospacing="0" w:line="400" w:lineRule="atLeast"/>
        <w:rPr>
          <w:rFonts w:ascii="inherit" w:hAnsi="inherit" w:cs="Arial"/>
          <w:b/>
          <w:bCs/>
          <w:color w:val="000000"/>
          <w:bdr w:val="none" w:sz="0" w:space="0" w:color="auto" w:frame="1"/>
        </w:rPr>
      </w:pPr>
    </w:p>
    <w:p w14:paraId="5FF0FC60" w14:textId="775957C1" w:rsidR="00383328" w:rsidRDefault="00383328" w:rsidP="00383328">
      <w:pPr>
        <w:pStyle w:val="NormalWeb"/>
        <w:shd w:val="clear" w:color="auto" w:fill="FFFFFF"/>
        <w:spacing w:before="0" w:beforeAutospacing="0" w:after="0" w:afterAutospacing="0" w:line="400" w:lineRule="atLeast"/>
        <w:rPr>
          <w:rFonts w:ascii="inherit" w:hAnsi="inherit" w:cs="Arial"/>
          <w:b/>
          <w:bCs/>
          <w:color w:val="000000"/>
          <w:bdr w:val="none" w:sz="0" w:space="0" w:color="auto" w:frame="1"/>
        </w:rPr>
      </w:pPr>
      <w:r>
        <w:rPr>
          <w:rFonts w:ascii="inherit" w:hAnsi="inherit" w:cs="Arial"/>
          <w:b/>
          <w:bCs/>
          <w:color w:val="000000"/>
          <w:bdr w:val="none" w:sz="0" w:space="0" w:color="auto" w:frame="1"/>
        </w:rPr>
        <w:t xml:space="preserve">Response 2 </w:t>
      </w:r>
    </w:p>
    <w:p w14:paraId="0541C8E5"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b/>
          <w:bCs/>
          <w:color w:val="111111"/>
        </w:rPr>
        <w:t>Continuous Approval of Telehealth from Insurance Companies</w:t>
      </w:r>
    </w:p>
    <w:p w14:paraId="47C4B37C"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color w:val="111111"/>
        </w:rPr>
        <w:t> </w:t>
      </w:r>
    </w:p>
    <w:p w14:paraId="60268206"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color w:val="111111"/>
        </w:rPr>
        <w:t>Telehealth refers to using technologies and related services to provide health care at a distance (Fisk et al., 2020). Telehealth has grown in popularity across the globe due to the COVID-19 pandemic. In the United States, a dramatic rise of telehealth services via telephone and videoconferencing was noted because many people resorted to these services directly from their homes to reduce the risk of contracting the virus. </w:t>
      </w:r>
    </w:p>
    <w:p w14:paraId="40570230"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color w:val="111111"/>
        </w:rPr>
        <w:t> </w:t>
      </w:r>
    </w:p>
    <w:p w14:paraId="64FBB564"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color w:val="111111"/>
        </w:rPr>
        <w:t>To support the surge of telehealth during the pandemic $2 trillion U.S. dollars was allotted for telehealth on March 27, 2020. Medicare lifted restrictions related to telehealth services, allowing the service to be reimbursable in urban and non-remote areas. Reimbursement rates for service providers were also adjusted, setting the same rate for face-to-face visits and telehealth. The service providers eligible to provide telehealth services were also widened. Several private insurance companies adjusted their coverage and reimbursement for telehealth services (Fisk et al., 2020). </w:t>
      </w:r>
    </w:p>
    <w:p w14:paraId="276AA1E2"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color w:val="111111"/>
        </w:rPr>
        <w:t> </w:t>
      </w:r>
    </w:p>
    <w:p w14:paraId="40D12BCD"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color w:val="111111"/>
        </w:rPr>
        <w:t>However, telehealth services must be continuously approved by insurance companies as a patient option beyond COVID-19. That way, it can become fully integrated within the current health care frameworks. Telehealth is a useful alternative form of health care. Thus, it must be made available to everyone. </w:t>
      </w:r>
    </w:p>
    <w:p w14:paraId="338A2300"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color w:val="111111"/>
        </w:rPr>
        <w:t> </w:t>
      </w:r>
    </w:p>
    <w:p w14:paraId="556D946F"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color w:val="111111"/>
        </w:rPr>
        <w:t xml:space="preserve">Telehealth has benefits in terms of cost, choice, and convenience. It is found to be associated with reduced hospital admissions. Telehealth is also linked with improvement in the participants’ health literacy and health behaviors. It can even diminish anxiety and depression and improve the participants’ wellbeing. Aside from that, telehealth counteracts the need to travel and helps address loneliness and social isolation in the elderly. It also facilitates companionship to the elderly who are dying, closes gaps in access to interpreters and signers, and allows the provision of cognitive behavior therapy at a distance (Fisk et al., 2020). On that note, overcoming financial </w:t>
      </w:r>
      <w:r w:rsidRPr="00294802">
        <w:rPr>
          <w:rFonts w:ascii="Arial" w:eastAsia="Times New Roman" w:hAnsi="Arial" w:cs="Arial"/>
          <w:color w:val="111111"/>
        </w:rPr>
        <w:lastRenderedPageBreak/>
        <w:t>barriers in the form of billing and reimbursement is necessary to ensure that Americans continue to reap telehealth services' benefits. </w:t>
      </w:r>
    </w:p>
    <w:p w14:paraId="67E45391"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color w:val="111111"/>
        </w:rPr>
        <w:t> </w:t>
      </w:r>
    </w:p>
    <w:p w14:paraId="3D66DB6F"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b/>
          <w:bCs/>
          <w:color w:val="111111"/>
        </w:rPr>
        <w:t>Reference:</w:t>
      </w:r>
    </w:p>
    <w:p w14:paraId="2DFD1189" w14:textId="77777777" w:rsidR="00294802" w:rsidRPr="00294802" w:rsidRDefault="00294802" w:rsidP="00294802">
      <w:pPr>
        <w:spacing w:after="240"/>
        <w:rPr>
          <w:rFonts w:ascii="Arial" w:eastAsia="Times New Roman" w:hAnsi="Arial" w:cs="Arial"/>
          <w:color w:val="111111"/>
        </w:rPr>
      </w:pPr>
      <w:r w:rsidRPr="00294802">
        <w:rPr>
          <w:rFonts w:ascii="Arial" w:eastAsia="Times New Roman" w:hAnsi="Arial" w:cs="Arial"/>
          <w:color w:val="111111"/>
        </w:rPr>
        <w:t>Fisk, M., Livingstone, A., &amp; Winona, S. (2020). Telehealth in the context of COVID-19: Changing perspectives in Australia, the United Kingdom, and the United States. </w:t>
      </w:r>
      <w:r w:rsidRPr="00294802">
        <w:rPr>
          <w:rFonts w:ascii="Arial" w:eastAsia="Times New Roman" w:hAnsi="Arial" w:cs="Arial"/>
          <w:i/>
          <w:iCs/>
          <w:color w:val="111111"/>
        </w:rPr>
        <w:t>Journal of Medical Internet Research, 22</w:t>
      </w:r>
      <w:r w:rsidRPr="00294802">
        <w:rPr>
          <w:rFonts w:ascii="Arial" w:eastAsia="Times New Roman" w:hAnsi="Arial" w:cs="Arial"/>
          <w:color w:val="111111"/>
        </w:rPr>
        <w:t>(6). https://www.jmir.org/2020/6/e19264/.</w:t>
      </w:r>
    </w:p>
    <w:p w14:paraId="7B651FA4" w14:textId="071A1140" w:rsidR="00383328" w:rsidRDefault="00383328" w:rsidP="004233DD">
      <w:r>
        <w:t xml:space="preserve"> </w:t>
      </w:r>
    </w:p>
    <w:sectPr w:rsidR="00383328" w:rsidSect="00F04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28"/>
    <w:rsid w:val="00294802"/>
    <w:rsid w:val="00383328"/>
    <w:rsid w:val="004233DD"/>
    <w:rsid w:val="00AE0EDE"/>
    <w:rsid w:val="00F0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1D5F73"/>
  <w15:chartTrackingRefBased/>
  <w15:docId w15:val="{6F464A0D-E423-DA4D-88F8-EF09FD2D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32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94802"/>
  </w:style>
  <w:style w:type="character" w:styleId="Emphasis">
    <w:name w:val="Emphasis"/>
    <w:basedOn w:val="DefaultParagraphFont"/>
    <w:uiPriority w:val="20"/>
    <w:qFormat/>
    <w:rsid w:val="002948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90543">
      <w:bodyDiv w:val="1"/>
      <w:marLeft w:val="0"/>
      <w:marRight w:val="0"/>
      <w:marTop w:val="0"/>
      <w:marBottom w:val="0"/>
      <w:divBdr>
        <w:top w:val="none" w:sz="0" w:space="0" w:color="auto"/>
        <w:left w:val="none" w:sz="0" w:space="0" w:color="auto"/>
        <w:bottom w:val="none" w:sz="0" w:space="0" w:color="auto"/>
        <w:right w:val="none" w:sz="0" w:space="0" w:color="auto"/>
      </w:divBdr>
    </w:div>
    <w:div w:id="1131510257">
      <w:bodyDiv w:val="1"/>
      <w:marLeft w:val="0"/>
      <w:marRight w:val="0"/>
      <w:marTop w:val="0"/>
      <w:marBottom w:val="0"/>
      <w:divBdr>
        <w:top w:val="none" w:sz="0" w:space="0" w:color="auto"/>
        <w:left w:val="none" w:sz="0" w:space="0" w:color="auto"/>
        <w:bottom w:val="none" w:sz="0" w:space="0" w:color="auto"/>
        <w:right w:val="none" w:sz="0" w:space="0" w:color="auto"/>
      </w:divBdr>
    </w:div>
    <w:div w:id="1642347860">
      <w:bodyDiv w:val="1"/>
      <w:marLeft w:val="0"/>
      <w:marRight w:val="0"/>
      <w:marTop w:val="0"/>
      <w:marBottom w:val="0"/>
      <w:divBdr>
        <w:top w:val="none" w:sz="0" w:space="0" w:color="auto"/>
        <w:left w:val="none" w:sz="0" w:space="0" w:color="auto"/>
        <w:bottom w:val="none" w:sz="0" w:space="0" w:color="auto"/>
        <w:right w:val="none" w:sz="0" w:space="0" w:color="auto"/>
      </w:divBdr>
    </w:div>
    <w:div w:id="19488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2021-03-16T23:28:00Z</dcterms:created>
  <dcterms:modified xsi:type="dcterms:W3CDTF">2021-03-16T23:28:00Z</dcterms:modified>
</cp:coreProperties>
</file>